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F" w:rsidRDefault="00ED7C4F" w:rsidP="00C12B93">
      <w:pPr>
        <w:spacing w:after="0" w:line="240" w:lineRule="atLeast"/>
        <w:jc w:val="center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  <w:r w:rsidRPr="00ED7C4F">
        <w:rPr>
          <w:rFonts w:ascii="Tahoma" w:eastAsia="Times New Roman" w:hAnsi="Tahoma" w:cs="Tahoma"/>
          <w:b/>
          <w:bCs/>
          <w:noProof/>
          <w:color w:val="414141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8407212"/>
            <wp:effectExtent l="0" t="0" r="3175" b="0"/>
            <wp:docPr id="2" name="Рисунок 2" descr="G:\т.лис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т.лист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C4F" w:rsidRDefault="00ED7C4F" w:rsidP="00C12B93">
      <w:pPr>
        <w:spacing w:after="0" w:line="240" w:lineRule="atLeast"/>
        <w:jc w:val="center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</w:p>
    <w:p w:rsidR="00ED7C4F" w:rsidRDefault="00ED7C4F" w:rsidP="00C12B93">
      <w:pPr>
        <w:spacing w:after="0" w:line="240" w:lineRule="atLeast"/>
        <w:jc w:val="center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</w:p>
    <w:p w:rsidR="00ED7C4F" w:rsidRDefault="00ED7C4F" w:rsidP="00C12B93">
      <w:pPr>
        <w:spacing w:after="0" w:line="240" w:lineRule="atLeast"/>
        <w:jc w:val="center"/>
        <w:rPr>
          <w:rFonts w:ascii="Tahoma" w:eastAsia="Times New Roman" w:hAnsi="Tahoma" w:cs="Tahoma"/>
          <w:b/>
          <w:bCs/>
          <w:color w:val="414141"/>
          <w:sz w:val="24"/>
          <w:szCs w:val="24"/>
          <w:shd w:val="clear" w:color="auto" w:fill="FFFFFF"/>
          <w:lang w:eastAsia="ru-RU"/>
        </w:rPr>
      </w:pPr>
    </w:p>
    <w:p w:rsidR="009E53B9" w:rsidRPr="0034510E" w:rsidRDefault="00C12B93" w:rsidP="00293C60">
      <w:pPr>
        <w:rPr>
          <w:rFonts w:ascii="Times New Roman" w:eastAsia="Times New Roman" w:hAnsi="Times New Roman" w:cs="Times New Roman"/>
          <w:color w:val="414141"/>
          <w:shd w:val="clear" w:color="auto" w:fill="FFFFFF"/>
          <w:lang w:eastAsia="ru-RU"/>
        </w:rPr>
      </w:pPr>
      <w:bookmarkStart w:id="0" w:name="_GoBack"/>
      <w:bookmarkEnd w:id="0"/>
      <w:r w:rsidRPr="00C12B93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C12B93">
        <w:rPr>
          <w:rFonts w:ascii="Tahoma" w:eastAsia="Times New Roman" w:hAnsi="Tahoma" w:cs="Tahoma"/>
          <w:color w:val="414141"/>
          <w:sz w:val="17"/>
          <w:szCs w:val="17"/>
          <w:lang w:eastAsia="ru-RU"/>
        </w:rPr>
        <w:br/>
      </w:r>
      <w:r w:rsidRPr="00293C60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lastRenderedPageBreak/>
        <w:t>1.Общие положения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№273-ФЗ от 29.12.2012 г.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1.2. Положение устанавливает порядок регламентации и оформления возникновения, приостановления и прекращения отношений между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М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униципальным бюджетным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обще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вательным учреждением «Средняя школа №1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»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города Велижа Смолен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ской области (далее - Школа) и учащимися и (или) их родителями (законными представителями).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1.3. Под образовательными отно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шениями понимается освоение обу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чающимися содержания образовательных программ.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1.4. Участники образовательных отношений – учащиеся, родители (законные представители) несовершеннолетних учащихся, педагогические работники Школы.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2.Возникновение образовательных отношений.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2.1. Основанием возникновения образовательных отношений является приказ о приеме (зачислении) лица для обучения в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Школе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или для прохождения промежуточной аттестации и (или ) государственной итоговой аттестации. 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2.3. Права и обязанности учащегося, предусмотренные законодательством об образовании и локальными нормативными актами Школы, возникают у лица, принятого на обучение, с даты, указ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анной в приказе о приёме (зачис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лении).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2.4. При приеме на обучение по основным общеобразовательным программам на каждого учащегося, принятого в 1 класс, заводится личное дело (карта), в котором хранятся все представленные при приеме документы. При приеме на обучение в 1 класс в течение учебного года, во 2-11 классы в личном деле учащегося производится запись о приеме. В алфавитную книгу записи учащихся, классный журнал вносятся соответствующие записи.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2.5. Организация приема, сроки издания директором Школы приказа о приеме на обучение по основным общеобразовательным программам регламентируются Правилами приема граждан.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2.6. При приеме лиц в Школу в качестве экстерна для прохождения промежуточной аттестации и (или) государственной итоговой аттестации соответствующие записи вносятся в алфавитную книгу записи экстернов, личное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дело экстерна, в котором хранятся заявление о прохождении промежуточной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аттестации, справка о прохождении промежуточной аттестации по установленной учреждением форме, другие документы, подтверждающие освоение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общеобразовательных программ (документы за период, предшествующий обучению в форме самообразования, семейного образования, в образовательных учреждениях иностранных государств).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2.7. Сроки подачи заявления о прохождении промежуточной аттестации в 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качестве экстерна устанавливаются локальными нормативными актами Школы.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3. Договор об образовании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3. 1. Договор об образовании заключается в простой письменной форме между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Школой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, в лице директора и лицом, зачисляемым на обучение или родителями (законными представителями) несовершеннолетнего учащегося.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3.2. В договоре об образовании должны быть указаны основные характеристики предоставляемого образования (образовательной услуги), в том числе вид, уровень и (или) направленность образовательной программы (часть образовательной программы определенных уровня, вида и направленности), форма обучения, срок освоения образовательной программы (продолжительность обучения). 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 xml:space="preserve">3.3. Договор об образовании не может содержать условий, ограничивающих права или </w:t>
      </w:r>
      <w:proofErr w:type="gramStart"/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снижающих уровень гарантий</w:t>
      </w:r>
      <w:proofErr w:type="gramEnd"/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обучающихся по сравнению с установленными законодательством об образовании. Если такие условия включены в договор, то они не подлежат применению.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3.4.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4. Изменение образовательных отношений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4.1. Образовательные отношения изменяются в случае изменения условий получения учащимися образования по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конкретной основной или дополни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тельной образовательной программе, повлекшего за собой изменение взаимных прав и обязанностей учащегося и Школы.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4.2. Образовательные отношения могут быть изменены как по инициативе учащегося или родителей (законных представителей) несовершеннолетнего учащегося по его заявлению в письменной форме, так и по инициативе Школы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4.3. Основанием для изменения образовательных отношений является приказ директора Школы. Если с учащимися или родител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ями (законными представителями)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несовершеннолетнего обучающегося заключен договор об образовании, распорядительный акт издается на основании внесения соответствующих изменений в такой договор.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4.4. Права и обязанности учащегося, предусмотренные законодательством об образовании и локальными нормативными актами Школы изменяются с даты издания распорядительного акта или с иной указанной в нем даты.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5.Приостановление образовательных отношений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5.1. Приостановление образовательных отношений между Школой и учащимися и (или) родителями (законными представителями) несовершеннолетних учащихся возможно в случаях: болезни учащегося, санаторно-курортного лечения, в спортивных соревнованиях и культурно массовых мероприятиях, по семейным обстоятельствам. Приостановление образовательных отношений, за исключением приостановления образовательных отношений по инициативе Школы осуществляется: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-по заявлению учащегося;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-по заявлению родителей (законных представителей) несовершеннолетнего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учащегося.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 заявлении указываются: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фамилия, имя, отчество (при наличии) учащегося;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дата и место рождения;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 класс обучения;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-причины приостановления образовательных отношений.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Приостановление образовательных отношений оформляется приказом директора Школы в случае длительного (от 7 и более дней) отсутствия учащегося в образовательном учреждении.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5.2. В случае болезни учащегося приостановление образовательных отношений начинается с момента уведомления Школы родителями (законными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представителями) о болезни ребенка. В течение первого дня неявки ученика на занятия родители (законные представители) обязаны уведомить Школу о пропуске ребенком учебных занятий с указанием причины такого пропуска.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Образовательные отношения возобновляются со дня выздоровления учащегося, что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подтверждается медицинской справкой. Пропущенные по болезни уроки фиксируются в классном журнале и относятся к категории « Пропуск по уважительной причине».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5.3. В случае </w:t>
      </w:r>
      <w:proofErr w:type="spellStart"/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санаторно</w:t>
      </w:r>
      <w:proofErr w:type="spellEnd"/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- курортного лечения учащегося приостановление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образовательных отношений происходит на период времени, указанный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в заявлении родителей о </w:t>
      </w:r>
      <w:proofErr w:type="spellStart"/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санаторно</w:t>
      </w:r>
      <w:proofErr w:type="spellEnd"/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- курортном лечении ребенка. В этом же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заявлении указывается место пребывания на лечении. Заявление подписывается у директора Школы. Пропуски уроков за период приостановления образовательных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отношений в классном журнале фиксируются.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ценки из ведомости текущих отметок, предоставленной лечебным учреждением</w:t>
      </w:r>
      <w:r w:rsid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, прикладываются в классный журнал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. Датой возобновления образовательных отношений в этом случае считается дата, когда ребенок приступил к занятиям в Школе.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5.4. Приостановление образовательных отношений по семейным обстоятельствам происходит по заявлению родителей (законных представителей) учащегося, в котором указывается причина и период времени отсутствия ребенка на занятиях. Заявление подписывается у директора Школы. Пропущенные занятия фиксируются в классном журнале и относятся к урокам, пропущенным по уважительной причине.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5.5. Приостановление образовательных отношений на время участия ребенком в спортивных и культурно- массовых мероприятиях, проводимых другим образовательным учреждением, происходит на основании получения приказа 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от отдела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образования 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А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дминистрации муниципального образования 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«</w:t>
      </w:r>
      <w:proofErr w:type="spellStart"/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Велижский</w:t>
      </w:r>
      <w:proofErr w:type="spellEnd"/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район»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или информационного письма (ходатайства) другим образовательным учреждением об освобождении некоторых учащихся от занятий. Пропущенные уроки в этом случае фиксируются в классном журнале и относятся к урокам, пропущенным по уважительной причине, а академическая задолженность устраняется учащимися самостоятельно.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b/>
          <w:bCs/>
          <w:color w:val="414141"/>
          <w:sz w:val="24"/>
          <w:szCs w:val="24"/>
          <w:shd w:val="clear" w:color="auto" w:fill="FFFFFF"/>
          <w:lang w:eastAsia="ru-RU"/>
        </w:rPr>
        <w:t>6. Прекращение образовательных отношений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6.1.Образовательные отношения прекращаются в связи с о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тчислением уча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щегося из Школы: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1) в связи с получением образования (завершением обучения); 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При отчислении в связи с получением образования (завершением обучения) выдаётся документ об образовании - аттестат об основном общем или среднем общем образовании;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2) досрочно по основаниям, установленным законодательством об образовании.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6.2. Образовательные отношения могут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 быть прекращены досрочно в сле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дующих случаях: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1) по инициативе учащегося или родителей (законных представите-лей) несовершеннолетнего учащегося, в 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том числе в случае перевода обу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чающегося для продолжения освоения образовательной 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программы в другую организацию, 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осуществляющую образовательную деятельность;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2) по инициативе Школы в случае применения к учащемуся, достигшему возраста 15 лет, отчисления как меры дисциплинарного взыскания, а также в случае установления нарушения порядка приема в Школу, повлекшего по вине учащегося его незаконное зачисление в образовательную организацию;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3) по обстоятельствам, не зависящим от воли учащегося или родителей (законных представителей) несовершеннолетнего учащегося и Школы, в том числе в случаях ликвидации организации, осуществляющей образовательную деятельность.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6.3. Досрочное прекращение образовательных отношений по инициативе учащегося или родителей (законных представителей) несовершеннолетнего учащегося не влечет для него каких-либо дополнительных, в том числе материальных, обязательств указанного учащегося перед Школой.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lastRenderedPageBreak/>
        <w:t>6.4. Основанием для прекращения образовательных отношений является приказ об отчислении учащегося из Школы. Права и обязанности учащегося, предусмотренные законодательством об образовании и локальными нормативными актами Школы прекращаются с даты его отчисления из Школы.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6.5. При досрочном прекращении образовательных отношений Школа в трехдневный срок после издания приказа об отчислении учащегося выдаёт лицу, отчисленному из Школы, справку об обучении.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6.6. В алфавитную книгу записи учащихс</w:t>
      </w:r>
      <w:r w:rsidR="0034510E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я, личное дело, журнал, алфавит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ную книгу записи экстернов, личное дело экстерна вносятся соответствующие записи.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>6.7. Порядок и основания отчисления учащегося из Школы, сроки издания</w:t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br/>
      </w:r>
      <w:r w:rsidRPr="00293C60">
        <w:rPr>
          <w:rFonts w:ascii="Times New Roman" w:eastAsia="Times New Roman" w:hAnsi="Times New Roman" w:cs="Times New Roman"/>
          <w:color w:val="414141"/>
          <w:sz w:val="24"/>
          <w:szCs w:val="24"/>
          <w:shd w:val="clear" w:color="auto" w:fill="FFFFFF"/>
          <w:lang w:eastAsia="ru-RU"/>
        </w:rPr>
        <w:t xml:space="preserve">директором приказа об отчислении, </w:t>
      </w:r>
      <w:r w:rsidRPr="0034510E">
        <w:rPr>
          <w:rFonts w:ascii="Times New Roman" w:eastAsia="Times New Roman" w:hAnsi="Times New Roman" w:cs="Times New Roman"/>
          <w:color w:val="414141"/>
          <w:shd w:val="clear" w:color="auto" w:fill="FFFFFF"/>
          <w:lang w:eastAsia="ru-RU"/>
        </w:rPr>
        <w:t>регламентируются Порядком и основаниями отчисления учащихся из Школы.</w:t>
      </w: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>
      <w:pPr>
        <w:rPr>
          <w:rFonts w:ascii="Tahoma" w:eastAsia="Times New Roman" w:hAnsi="Tahoma" w:cs="Tahoma"/>
          <w:color w:val="414141"/>
          <w:sz w:val="17"/>
          <w:szCs w:val="17"/>
          <w:shd w:val="clear" w:color="auto" w:fill="FFFFFF"/>
          <w:lang w:eastAsia="ru-RU"/>
        </w:rPr>
      </w:pPr>
    </w:p>
    <w:p w:rsidR="00293C60" w:rsidRDefault="00293C60" w:rsidP="00C12B93"/>
    <w:sectPr w:rsidR="0029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51"/>
    <w:rsid w:val="00293C60"/>
    <w:rsid w:val="0034510E"/>
    <w:rsid w:val="009E53B9"/>
    <w:rsid w:val="00A63B51"/>
    <w:rsid w:val="00C12B93"/>
    <w:rsid w:val="00ED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859B"/>
  <w15:chartTrackingRefBased/>
  <w15:docId w15:val="{B03B5CD5-ED9E-4C1A-A94D-BFEBFA73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2018-03-14T07:56:00Z</cp:lastPrinted>
  <dcterms:created xsi:type="dcterms:W3CDTF">2018-03-14T07:42:00Z</dcterms:created>
  <dcterms:modified xsi:type="dcterms:W3CDTF">2018-03-14T08:27:00Z</dcterms:modified>
</cp:coreProperties>
</file>